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8C0" w:rsidRPr="00A94D6D" w:rsidRDefault="001358C0" w:rsidP="001358C0">
      <w:pPr>
        <w:jc w:val="center"/>
        <w:rPr>
          <w:b/>
        </w:rPr>
      </w:pPr>
      <w:r w:rsidRPr="00A94D6D">
        <w:rPr>
          <w:b/>
        </w:rPr>
        <w:t>Cold Ashby TWP</w:t>
      </w:r>
      <w:r w:rsidR="00A96359">
        <w:rPr>
          <w:b/>
        </w:rPr>
        <w:t xml:space="preserve"> (website version)</w:t>
      </w:r>
    </w:p>
    <w:p w:rsidR="001358C0" w:rsidRPr="00A94D6D" w:rsidRDefault="001358C0" w:rsidP="001358C0">
      <w:pPr>
        <w:jc w:val="center"/>
        <w:rPr>
          <w:b/>
        </w:rPr>
      </w:pPr>
      <w:r w:rsidRPr="00A94D6D">
        <w:rPr>
          <w:b/>
        </w:rPr>
        <w:t>TMP</w:t>
      </w:r>
    </w:p>
    <w:p w:rsidR="001358C0" w:rsidRDefault="001358C0" w:rsidP="001358C0">
      <w:pPr>
        <w:jc w:val="center"/>
        <w:rPr>
          <w:b/>
        </w:rPr>
      </w:pPr>
      <w:r w:rsidRPr="00A94D6D">
        <w:rPr>
          <w:b/>
        </w:rPr>
        <w:t>Updated July 2013</w:t>
      </w:r>
    </w:p>
    <w:p w:rsidR="001358C0" w:rsidRDefault="001358C0" w:rsidP="001358C0">
      <w:pPr>
        <w:rPr>
          <w:b/>
        </w:rPr>
      </w:pPr>
    </w:p>
    <w:p w:rsidR="001358C0" w:rsidRPr="00422E31" w:rsidRDefault="001358C0" w:rsidP="001358C0">
      <w:pPr>
        <w:jc w:val="center"/>
        <w:rPr>
          <w:b/>
          <w:i/>
        </w:rPr>
      </w:pPr>
      <w:r>
        <w:rPr>
          <w:b/>
          <w:i/>
        </w:rPr>
        <w:t xml:space="preserve">Terminology: - </w:t>
      </w:r>
      <w:r w:rsidRPr="00422E31">
        <w:rPr>
          <w:b/>
          <w:i/>
        </w:rPr>
        <w:t>Agreed Traffic Related Issues (ATRI) Possible Solutions (PS)</w:t>
      </w:r>
    </w:p>
    <w:tbl>
      <w:tblPr>
        <w:tblpPr w:leftFromText="180" w:rightFromText="180" w:vertAnchor="page" w:horzAnchor="page" w:tblpX="1" w:tblpY="3766"/>
        <w:tblW w:w="14345" w:type="dxa"/>
        <w:tblBorders>
          <w:insideH w:val="single" w:sz="18" w:space="0" w:color="FFFFFF"/>
          <w:insideV w:val="single" w:sz="18" w:space="0" w:color="FFFFFF"/>
        </w:tblBorders>
        <w:tblLook w:val="01E0" w:firstRow="1" w:lastRow="1" w:firstColumn="1" w:lastColumn="1" w:noHBand="0" w:noVBand="0"/>
      </w:tblPr>
      <w:tblGrid>
        <w:gridCol w:w="14561"/>
      </w:tblGrid>
      <w:tr w:rsidR="001358C0" w:rsidRPr="001358C0" w:rsidTr="001358C0">
        <w:tc>
          <w:tcPr>
            <w:tcW w:w="14345" w:type="dxa"/>
            <w:shd w:val="pct5" w:color="000000" w:fill="FFFFFF"/>
          </w:tcPr>
          <w:tbl>
            <w:tblPr>
              <w:tblpPr w:leftFromText="180" w:rightFromText="180" w:vertAnchor="page" w:horzAnchor="margin" w:tblpY="931"/>
              <w:tblOverlap w:val="never"/>
              <w:tblW w:w="14345" w:type="dxa"/>
              <w:tblBorders>
                <w:insideH w:val="single" w:sz="18" w:space="0" w:color="FFFFFF"/>
                <w:insideV w:val="single" w:sz="18" w:space="0" w:color="FFFFFF"/>
              </w:tblBorders>
              <w:tblLook w:val="01E0" w:firstRow="1" w:lastRow="1" w:firstColumn="1" w:lastColumn="1" w:noHBand="0" w:noVBand="0"/>
            </w:tblPr>
            <w:tblGrid>
              <w:gridCol w:w="14345"/>
            </w:tblGrid>
            <w:tr w:rsidR="001358C0" w:rsidRPr="001358C0" w:rsidTr="00A96359">
              <w:tc>
                <w:tcPr>
                  <w:tcW w:w="14345" w:type="dxa"/>
                  <w:shd w:val="pct20" w:color="000000" w:fill="FFFFFF"/>
                </w:tcPr>
                <w:p w:rsidR="001358C0" w:rsidRPr="001358C0" w:rsidRDefault="001358C0" w:rsidP="001358C0">
                  <w:pPr>
                    <w:ind w:left="1735" w:right="3605"/>
                    <w:rPr>
                      <w:b/>
                      <w:bCs/>
                    </w:rPr>
                  </w:pPr>
                  <w:r w:rsidRPr="001358C0">
                    <w:rPr>
                      <w:b/>
                      <w:bCs/>
                    </w:rPr>
                    <w:t>ATRI 1</w:t>
                  </w:r>
                </w:p>
              </w:tc>
            </w:tr>
            <w:tr w:rsidR="001358C0" w:rsidRPr="001358C0" w:rsidTr="00A96359">
              <w:tc>
                <w:tcPr>
                  <w:tcW w:w="14345" w:type="dxa"/>
                  <w:shd w:val="pct5" w:color="000000" w:fill="FFFFFF"/>
                </w:tcPr>
                <w:p w:rsidR="001358C0" w:rsidRPr="001358C0" w:rsidRDefault="001358C0" w:rsidP="001358C0">
                  <w:pPr>
                    <w:ind w:left="1735" w:right="3605"/>
                    <w:rPr>
                      <w:b/>
                    </w:rPr>
                  </w:pPr>
                  <w:r w:rsidRPr="001358C0">
                    <w:rPr>
                      <w:b/>
                    </w:rPr>
                    <w:t>Heavy Goods Vehicles</w:t>
                  </w:r>
                  <w:r w:rsidRPr="001358C0">
                    <w:t xml:space="preserve"> continue to use the village as a through route despite the weight restriction on the road.</w:t>
                  </w:r>
                </w:p>
              </w:tc>
            </w:tr>
          </w:tbl>
          <w:p w:rsidR="001358C0" w:rsidRPr="001358C0" w:rsidRDefault="001358C0" w:rsidP="001358C0">
            <w:pPr>
              <w:rPr>
                <w:b/>
              </w:rPr>
            </w:pPr>
          </w:p>
        </w:tc>
      </w:tr>
    </w:tbl>
    <w:p w:rsidR="001358C0" w:rsidRDefault="001358C0" w:rsidP="001358C0">
      <w:pPr>
        <w:jc w:val="center"/>
        <w:rPr>
          <w:b/>
          <w:i/>
        </w:rPr>
      </w:pPr>
      <w:r w:rsidRPr="00422E31">
        <w:rPr>
          <w:b/>
          <w:i/>
        </w:rPr>
        <w:t>Favoured Solution (FS) Agreed Solution (AS)</w:t>
      </w:r>
    </w:p>
    <w:p w:rsidR="002C45C6" w:rsidRDefault="002C45C6"/>
    <w:p w:rsidR="001358C0" w:rsidRDefault="001358C0" w:rsidP="001358C0">
      <w:pPr>
        <w:tabs>
          <w:tab w:val="left" w:pos="2700"/>
        </w:tabs>
        <w:ind w:left="284" w:hanging="284"/>
      </w:pPr>
      <w:r>
        <w:tab/>
      </w:r>
    </w:p>
    <w:tbl>
      <w:tblPr>
        <w:tblW w:w="14345" w:type="dxa"/>
        <w:tblBorders>
          <w:insideH w:val="single" w:sz="18" w:space="0" w:color="FFFFFF"/>
          <w:insideV w:val="single" w:sz="18" w:space="0" w:color="FFFFFF"/>
        </w:tblBorders>
        <w:tblLook w:val="01E0" w:firstRow="1" w:lastRow="1" w:firstColumn="1" w:lastColumn="1" w:noHBand="0" w:noVBand="0"/>
      </w:tblPr>
      <w:tblGrid>
        <w:gridCol w:w="14345"/>
      </w:tblGrid>
      <w:tr w:rsidR="001358C0" w:rsidRPr="001358C0" w:rsidTr="00193DEB">
        <w:tc>
          <w:tcPr>
            <w:tcW w:w="10908" w:type="dxa"/>
            <w:shd w:val="pct20" w:color="000000" w:fill="FFFFFF"/>
          </w:tcPr>
          <w:p w:rsidR="001358C0" w:rsidRPr="001358C0" w:rsidRDefault="001358C0" w:rsidP="001358C0">
            <w:pPr>
              <w:rPr>
                <w:b/>
                <w:bCs/>
              </w:rPr>
            </w:pPr>
            <w:r w:rsidRPr="001358C0">
              <w:rPr>
                <w:b/>
                <w:bCs/>
              </w:rPr>
              <w:t>ATRI 2</w:t>
            </w:r>
          </w:p>
        </w:tc>
      </w:tr>
      <w:tr w:rsidR="001358C0" w:rsidRPr="001358C0" w:rsidTr="00193DEB">
        <w:tc>
          <w:tcPr>
            <w:tcW w:w="10908" w:type="dxa"/>
            <w:shd w:val="pct5" w:color="000000" w:fill="FFFFFF"/>
          </w:tcPr>
          <w:p w:rsidR="001358C0" w:rsidRPr="001358C0" w:rsidRDefault="001358C0" w:rsidP="001358C0">
            <w:pPr>
              <w:spacing w:before="60" w:after="120"/>
              <w:ind w:left="360" w:right="4490"/>
              <w:rPr>
                <w:lang w:eastAsia="en-US"/>
              </w:rPr>
            </w:pPr>
            <w:r w:rsidRPr="001358C0">
              <w:rPr>
                <w:b/>
                <w:lang w:eastAsia="en-US"/>
              </w:rPr>
              <w:t>The speed of vehicles</w:t>
            </w:r>
            <w:r w:rsidRPr="001358C0">
              <w:rPr>
                <w:lang w:eastAsia="en-US"/>
              </w:rPr>
              <w:t xml:space="preserve"> entering and leaving the village by the West Haddon Road is excessive, causing nuisance, pollution and danger.</w:t>
            </w:r>
          </w:p>
          <w:p w:rsidR="001358C0" w:rsidRPr="001358C0" w:rsidRDefault="001358C0" w:rsidP="001358C0">
            <w:pPr>
              <w:rPr>
                <w:b/>
              </w:rPr>
            </w:pPr>
          </w:p>
        </w:tc>
      </w:tr>
    </w:tbl>
    <w:p w:rsidR="001358C0" w:rsidRDefault="001358C0" w:rsidP="001358C0">
      <w:pPr>
        <w:ind w:right="379"/>
      </w:pPr>
    </w:p>
    <w:tbl>
      <w:tblPr>
        <w:tblW w:w="9464" w:type="dxa"/>
        <w:tblBorders>
          <w:insideH w:val="single" w:sz="18" w:space="0" w:color="FFFFFF"/>
          <w:insideV w:val="single" w:sz="18" w:space="0" w:color="FFFFFF"/>
        </w:tblBorders>
        <w:tblLook w:val="01E0" w:firstRow="1" w:lastRow="1" w:firstColumn="1" w:lastColumn="1" w:noHBand="0" w:noVBand="0"/>
      </w:tblPr>
      <w:tblGrid>
        <w:gridCol w:w="9464"/>
      </w:tblGrid>
      <w:tr w:rsidR="001358C0" w:rsidRPr="001358C0" w:rsidTr="00BD5356">
        <w:trPr>
          <w:trHeight w:val="30"/>
        </w:trPr>
        <w:tc>
          <w:tcPr>
            <w:tcW w:w="9464" w:type="dxa"/>
            <w:shd w:val="pct20" w:color="000000" w:fill="FFFFFF"/>
          </w:tcPr>
          <w:p w:rsidR="001358C0" w:rsidRPr="001358C0" w:rsidRDefault="001358C0" w:rsidP="00BD5356">
            <w:pPr>
              <w:ind w:right="5057"/>
              <w:rPr>
                <w:b/>
                <w:bCs/>
              </w:rPr>
            </w:pPr>
            <w:r w:rsidRPr="001358C0">
              <w:rPr>
                <w:b/>
                <w:bCs/>
              </w:rPr>
              <w:t>ATRI 3</w:t>
            </w:r>
          </w:p>
        </w:tc>
      </w:tr>
      <w:tr w:rsidR="001358C0" w:rsidRPr="001358C0" w:rsidTr="00BD5356">
        <w:trPr>
          <w:trHeight w:val="507"/>
        </w:trPr>
        <w:tc>
          <w:tcPr>
            <w:tcW w:w="9464" w:type="dxa"/>
            <w:shd w:val="pct5" w:color="000000" w:fill="FFFFFF"/>
          </w:tcPr>
          <w:p w:rsidR="001358C0" w:rsidRPr="001358C0" w:rsidRDefault="001358C0" w:rsidP="00BD5356">
            <w:pPr>
              <w:ind w:right="743"/>
            </w:pPr>
            <w:r w:rsidRPr="001358C0">
              <w:rPr>
                <w:b/>
              </w:rPr>
              <w:t>Vehicles parked on Main Street</w:t>
            </w:r>
            <w:r w:rsidRPr="001358C0">
              <w:t xml:space="preserve"> obstruct the movement of wider than usual farm vehicles at particular times of the year, mainly summer.  Damage is frequently caused to the safety bollards installed by NCC and which the Parish Council agrees is an important safety mechanism protecting pedestrians and property.</w:t>
            </w:r>
          </w:p>
          <w:p w:rsidR="001358C0" w:rsidRPr="001358C0" w:rsidRDefault="001358C0" w:rsidP="00BD5356">
            <w:pPr>
              <w:ind w:right="743"/>
            </w:pPr>
          </w:p>
          <w:p w:rsidR="001358C0" w:rsidRPr="001358C0" w:rsidRDefault="001358C0" w:rsidP="00BD5356">
            <w:pPr>
              <w:ind w:right="743"/>
              <w:rPr>
                <w:i/>
              </w:rPr>
            </w:pPr>
            <w:r w:rsidRPr="001358C0">
              <w:rPr>
                <w:i/>
              </w:rPr>
              <w:t>Alternative ATRI</w:t>
            </w:r>
          </w:p>
          <w:p w:rsidR="001358C0" w:rsidRPr="001358C0" w:rsidRDefault="001358C0" w:rsidP="00BD5356">
            <w:pPr>
              <w:ind w:right="743"/>
            </w:pPr>
          </w:p>
          <w:p w:rsidR="001358C0" w:rsidRPr="001358C0" w:rsidRDefault="001358C0" w:rsidP="00BD5356">
            <w:pPr>
              <w:spacing w:after="120"/>
              <w:ind w:right="743"/>
              <w:rPr>
                <w:lang w:eastAsia="en-US"/>
              </w:rPr>
            </w:pPr>
            <w:r w:rsidRPr="001358C0">
              <w:rPr>
                <w:lang w:eastAsia="en-US"/>
              </w:rPr>
              <w:t xml:space="preserve">Vehicles parked on Main Street </w:t>
            </w:r>
            <w:r w:rsidRPr="001358C0">
              <w:rPr>
                <w:b/>
                <w:bCs/>
                <w:color w:val="006600"/>
                <w:lang w:eastAsia="en-US"/>
              </w:rPr>
              <w:t xml:space="preserve">and, more particularly, traffic coming from the opposite direction </w:t>
            </w:r>
            <w:r w:rsidRPr="001358C0">
              <w:rPr>
                <w:lang w:eastAsia="en-US"/>
              </w:rPr>
              <w:t xml:space="preserve">obstructs the movement of wider than usual farm vehicles at particular times of the year, mainly summer.  Damage is frequently caused to the safety bollards installed by NCC and which the Parish Council agrees is an important safety mechanism protecting pedestrians and property. </w:t>
            </w:r>
            <w:r w:rsidRPr="001358C0">
              <w:rPr>
                <w:color w:val="006600"/>
                <w:lang w:eastAsia="en-US"/>
              </w:rPr>
              <w:t>Along the Western part of Main Street, these oversize vehicles also mount the pavement presenting a safety hazard to residents of the village</w:t>
            </w:r>
            <w:r w:rsidRPr="001358C0">
              <w:rPr>
                <w:lang w:eastAsia="en-US"/>
              </w:rPr>
              <w:t>.</w:t>
            </w:r>
          </w:p>
          <w:p w:rsidR="001358C0" w:rsidRPr="001358C0" w:rsidRDefault="001358C0" w:rsidP="001358C0">
            <w:pPr>
              <w:rPr>
                <w:b/>
              </w:rPr>
            </w:pPr>
          </w:p>
        </w:tc>
      </w:tr>
    </w:tbl>
    <w:p w:rsidR="001358C0" w:rsidRDefault="001358C0" w:rsidP="001358C0">
      <w:pPr>
        <w:ind w:right="379"/>
      </w:pPr>
    </w:p>
    <w:tbl>
      <w:tblPr>
        <w:tblW w:w="14705" w:type="dxa"/>
        <w:tblBorders>
          <w:insideH w:val="single" w:sz="18" w:space="0" w:color="FFFFFF"/>
          <w:insideV w:val="single" w:sz="18" w:space="0" w:color="FFFFFF"/>
        </w:tblBorders>
        <w:tblLayout w:type="fixed"/>
        <w:tblLook w:val="01E0" w:firstRow="1" w:lastRow="1" w:firstColumn="1" w:lastColumn="1" w:noHBand="0" w:noVBand="0"/>
      </w:tblPr>
      <w:tblGrid>
        <w:gridCol w:w="11088"/>
        <w:gridCol w:w="180"/>
        <w:gridCol w:w="3437"/>
      </w:tblGrid>
      <w:tr w:rsidR="00BD5356" w:rsidRPr="00BD5356" w:rsidTr="001E1279">
        <w:tc>
          <w:tcPr>
            <w:tcW w:w="14705" w:type="dxa"/>
            <w:gridSpan w:val="3"/>
            <w:shd w:val="pct20" w:color="000000" w:fill="FFFFFF"/>
          </w:tcPr>
          <w:p w:rsidR="00BD5356" w:rsidRPr="00BD5356" w:rsidRDefault="00BD5356" w:rsidP="00BD5356">
            <w:pPr>
              <w:rPr>
                <w:b/>
                <w:bCs/>
              </w:rPr>
            </w:pPr>
            <w:r w:rsidRPr="00BD5356">
              <w:rPr>
                <w:b/>
                <w:bCs/>
              </w:rPr>
              <w:t>ATRI 4</w:t>
            </w:r>
          </w:p>
        </w:tc>
      </w:tr>
      <w:tr w:rsidR="00BD5356" w:rsidRPr="00BD5356" w:rsidTr="001E1279">
        <w:tc>
          <w:tcPr>
            <w:tcW w:w="14705" w:type="dxa"/>
            <w:gridSpan w:val="3"/>
            <w:shd w:val="pct5" w:color="000000" w:fill="FFFFFF"/>
          </w:tcPr>
          <w:p w:rsidR="00BD5356" w:rsidRPr="00BD5356" w:rsidRDefault="00BD5356" w:rsidP="00BD5356">
            <w:pPr>
              <w:spacing w:before="240" w:after="200" w:line="276" w:lineRule="auto"/>
              <w:ind w:right="826"/>
              <w:rPr>
                <w:b/>
                <w:lang w:eastAsia="en-US"/>
              </w:rPr>
            </w:pPr>
            <w:smartTag w:uri="urn:schemas-microsoft-com:office:smarttags" w:element="Street">
              <w:smartTag w:uri="urn:schemas-microsoft-com:office:smarttags" w:element="address">
                <w:r w:rsidRPr="00BD5356">
                  <w:rPr>
                    <w:b/>
                    <w:lang w:eastAsia="en-US"/>
                  </w:rPr>
                  <w:t>Stanford Road</w:t>
                </w:r>
              </w:smartTag>
            </w:smartTag>
            <w:r w:rsidRPr="00BD5356">
              <w:rPr>
                <w:b/>
                <w:lang w:eastAsia="en-US"/>
              </w:rPr>
              <w:t xml:space="preserve"> </w:t>
            </w:r>
          </w:p>
          <w:p w:rsidR="00BD5356" w:rsidRPr="00BD5356" w:rsidRDefault="00BD5356" w:rsidP="001E1279">
            <w:pPr>
              <w:spacing w:before="240" w:after="120"/>
              <w:ind w:left="360" w:right="5275"/>
              <w:rPr>
                <w:lang w:eastAsia="en-US"/>
              </w:rPr>
            </w:pPr>
            <w:r w:rsidRPr="00BD5356">
              <w:rPr>
                <w:lang w:eastAsia="en-US"/>
              </w:rPr>
              <w:t xml:space="preserve">The carriageway is narrow and prevents free movement of farm vehicles and school buses when vehicles are parked on the road.  Vehicles are </w:t>
            </w:r>
            <w:r w:rsidRPr="00BD5356">
              <w:rPr>
                <w:lang w:eastAsia="en-US"/>
              </w:rPr>
              <w:lastRenderedPageBreak/>
              <w:t xml:space="preserve">often parked within 10 metres of the  junction with </w:t>
            </w:r>
            <w:smartTag w:uri="urn:schemas-microsoft-com:office:smarttags" w:element="Street">
              <w:smartTag w:uri="urn:schemas-microsoft-com:office:smarttags" w:element="address">
                <w:r w:rsidRPr="00BD5356">
                  <w:rPr>
                    <w:lang w:eastAsia="en-US"/>
                  </w:rPr>
                  <w:t>Main Street/West Haddon Road</w:t>
                </w:r>
              </w:smartTag>
            </w:smartTag>
            <w:r w:rsidRPr="00BD5356">
              <w:rPr>
                <w:lang w:eastAsia="en-US"/>
              </w:rPr>
              <w:t xml:space="preserve">,  restricting the vision and space for vehicles turning into </w:t>
            </w:r>
            <w:smartTag w:uri="urn:schemas-microsoft-com:office:smarttags" w:element="Street">
              <w:smartTag w:uri="urn:schemas-microsoft-com:office:smarttags" w:element="address">
                <w:r w:rsidRPr="00BD5356">
                  <w:rPr>
                    <w:lang w:eastAsia="en-US"/>
                  </w:rPr>
                  <w:t>Stanford Road</w:t>
                </w:r>
              </w:smartTag>
            </w:smartTag>
            <w:r w:rsidRPr="00BD5356">
              <w:rPr>
                <w:lang w:eastAsia="en-US"/>
              </w:rPr>
              <w:t>.</w:t>
            </w: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14489"/>
            </w:tblGrid>
            <w:tr w:rsidR="00BD5356" w:rsidRPr="00F302E1" w:rsidTr="00BD5356">
              <w:tc>
                <w:tcPr>
                  <w:tcW w:w="14489" w:type="dxa"/>
                  <w:shd w:val="pct20" w:color="000000" w:fill="FFFFFF"/>
                </w:tcPr>
                <w:p w:rsidR="00BD5356" w:rsidRPr="00F302E1" w:rsidRDefault="00BD5356" w:rsidP="00BD5356">
                  <w:pPr>
                    <w:ind w:right="826"/>
                    <w:rPr>
                      <w:b/>
                    </w:rPr>
                  </w:pPr>
                  <w:r w:rsidRPr="00F302E1">
                    <w:rPr>
                      <w:b/>
                    </w:rPr>
                    <w:t>ATRI 5</w:t>
                  </w:r>
                </w:p>
              </w:tc>
            </w:tr>
            <w:tr w:rsidR="00BD5356" w:rsidRPr="00F302E1" w:rsidTr="00BD5356">
              <w:tc>
                <w:tcPr>
                  <w:tcW w:w="14489" w:type="dxa"/>
                  <w:shd w:val="pct5" w:color="000000" w:fill="FFFFFF"/>
                </w:tcPr>
                <w:p w:rsidR="00BD5356" w:rsidRDefault="00BD5356" w:rsidP="00BD5356">
                  <w:pPr>
                    <w:pStyle w:val="ListParagraph"/>
                    <w:spacing w:before="240" w:line="276" w:lineRule="auto"/>
                    <w:ind w:left="0" w:right="826"/>
                    <w:jc w:val="left"/>
                    <w:rPr>
                      <w:rFonts w:ascii="Verdana" w:hAnsi="Verdana"/>
                      <w:sz w:val="24"/>
                    </w:rPr>
                  </w:pPr>
                  <w:r w:rsidRPr="00F302E1">
                    <w:rPr>
                      <w:rFonts w:ascii="Verdana" w:hAnsi="Verdana"/>
                      <w:b/>
                      <w:sz w:val="24"/>
                    </w:rPr>
                    <w:t>Performance measurement</w:t>
                  </w:r>
                  <w:r w:rsidRPr="00F302E1">
                    <w:rPr>
                      <w:rFonts w:ascii="Verdana" w:hAnsi="Verdana"/>
                      <w:sz w:val="24"/>
                    </w:rPr>
                    <w:t xml:space="preserve"> </w:t>
                  </w:r>
                </w:p>
                <w:p w:rsidR="00BD5356" w:rsidRPr="00F302E1" w:rsidRDefault="00BD5356" w:rsidP="001E1279">
                  <w:pPr>
                    <w:pStyle w:val="ListParagraph"/>
                    <w:spacing w:before="240" w:line="276" w:lineRule="auto"/>
                    <w:ind w:left="0" w:right="4883"/>
                    <w:jc w:val="left"/>
                    <w:rPr>
                      <w:rFonts w:ascii="Verdana" w:hAnsi="Verdana"/>
                      <w:sz w:val="24"/>
                    </w:rPr>
                  </w:pPr>
                  <w:r w:rsidRPr="00F302E1">
                    <w:rPr>
                      <w:rFonts w:ascii="Verdana" w:hAnsi="Verdana"/>
                      <w:sz w:val="24"/>
                    </w:rPr>
                    <w:t>The ability to influence other authorities and the police is sometimes hampered by a lack of reliable, credible data, collected over a sustained period of time, on speed and volumes of traffic flow through the village. Evidence of improvement or deterioration tends</w:t>
                  </w:r>
                  <w:r w:rsidR="001E1279">
                    <w:rPr>
                      <w:rFonts w:ascii="Verdana" w:hAnsi="Verdana"/>
                      <w:sz w:val="24"/>
                    </w:rPr>
                    <w:t xml:space="preserve"> </w:t>
                  </w:r>
                  <w:r w:rsidRPr="00F302E1">
                    <w:rPr>
                      <w:rFonts w:ascii="Verdana" w:hAnsi="Verdana"/>
                      <w:sz w:val="24"/>
                    </w:rPr>
                    <w:t>to be anecdotal.</w:t>
                  </w:r>
                </w:p>
                <w:p w:rsidR="00BD5356" w:rsidRPr="00F302E1" w:rsidRDefault="00BD5356" w:rsidP="001E1279">
                  <w:pPr>
                    <w:pStyle w:val="ListParagraph"/>
                    <w:spacing w:before="240" w:line="276" w:lineRule="auto"/>
                    <w:ind w:left="0" w:right="4883"/>
                    <w:jc w:val="left"/>
                    <w:rPr>
                      <w:rFonts w:ascii="Verdana" w:hAnsi="Verdana"/>
                      <w:b/>
                      <w:sz w:val="24"/>
                    </w:rPr>
                  </w:pPr>
                </w:p>
                <w:p w:rsidR="00BD5356" w:rsidRPr="00F302E1" w:rsidRDefault="00BD5356" w:rsidP="00BD5356">
                  <w:pPr>
                    <w:ind w:right="826"/>
                    <w:rPr>
                      <w:b/>
                    </w:rPr>
                  </w:pPr>
                </w:p>
              </w:tc>
            </w:tr>
          </w:tbl>
          <w:p w:rsidR="00BD5356" w:rsidRPr="00BD5356" w:rsidRDefault="00BD5356" w:rsidP="00BD5356">
            <w:pPr>
              <w:spacing w:before="240" w:after="200" w:line="276" w:lineRule="auto"/>
              <w:ind w:right="826"/>
              <w:rPr>
                <w:b/>
                <w:lang w:eastAsia="en-US"/>
              </w:rPr>
            </w:pPr>
          </w:p>
          <w:p w:rsidR="00BD5356" w:rsidRPr="00BD5356" w:rsidRDefault="00BD5356" w:rsidP="00BD5356">
            <w:pPr>
              <w:ind w:right="826"/>
              <w:rPr>
                <w:b/>
              </w:rPr>
            </w:pPr>
          </w:p>
        </w:tc>
      </w:tr>
      <w:tr w:rsidR="001E1279" w:rsidRPr="00F302E1" w:rsidTr="001E1279">
        <w:trPr>
          <w:gridAfter w:val="2"/>
          <w:wAfter w:w="3617" w:type="dxa"/>
        </w:trPr>
        <w:tc>
          <w:tcPr>
            <w:tcW w:w="11088" w:type="dxa"/>
            <w:shd w:val="pct20" w:color="000000" w:fill="FFFFFF"/>
          </w:tcPr>
          <w:p w:rsidR="001E1279" w:rsidRPr="00F302E1" w:rsidRDefault="001E1279" w:rsidP="00193DEB">
            <w:pPr>
              <w:rPr>
                <w:b/>
                <w:bCs/>
              </w:rPr>
            </w:pPr>
            <w:r w:rsidRPr="00F302E1">
              <w:rPr>
                <w:b/>
                <w:bCs/>
              </w:rPr>
              <w:lastRenderedPageBreak/>
              <w:t>ATRI 6</w:t>
            </w:r>
          </w:p>
        </w:tc>
      </w:tr>
      <w:tr w:rsidR="001E1279" w:rsidRPr="00F302E1" w:rsidTr="001E1279">
        <w:trPr>
          <w:gridAfter w:val="2"/>
          <w:wAfter w:w="3617" w:type="dxa"/>
        </w:trPr>
        <w:tc>
          <w:tcPr>
            <w:tcW w:w="11088" w:type="dxa"/>
            <w:shd w:val="pct5" w:color="000000" w:fill="FFFFFF"/>
          </w:tcPr>
          <w:p w:rsidR="001E1279" w:rsidRPr="00F302E1" w:rsidRDefault="001E1279" w:rsidP="00193DEB">
            <w:pPr>
              <w:pStyle w:val="ListParagraph"/>
              <w:spacing w:before="240" w:line="276" w:lineRule="auto"/>
              <w:ind w:left="0"/>
              <w:jc w:val="left"/>
              <w:rPr>
                <w:rFonts w:ascii="Verdana" w:hAnsi="Verdana"/>
                <w:b/>
                <w:sz w:val="24"/>
              </w:rPr>
            </w:pPr>
            <w:r w:rsidRPr="00F302E1">
              <w:rPr>
                <w:rFonts w:ascii="Verdana" w:hAnsi="Verdana"/>
                <w:b/>
                <w:sz w:val="24"/>
              </w:rPr>
              <w:t>External influences</w:t>
            </w:r>
          </w:p>
          <w:p w:rsidR="001E1279" w:rsidRPr="00F302E1" w:rsidRDefault="001E1279" w:rsidP="001E1279">
            <w:pPr>
              <w:pStyle w:val="ListParagraph"/>
              <w:spacing w:before="240"/>
              <w:ind w:left="360" w:right="1516"/>
              <w:jc w:val="left"/>
              <w:rPr>
                <w:rFonts w:ascii="Verdana" w:hAnsi="Verdana"/>
                <w:bCs/>
                <w:sz w:val="24"/>
              </w:rPr>
            </w:pPr>
            <w:r w:rsidRPr="00F302E1">
              <w:rPr>
                <w:rFonts w:ascii="Verdana" w:hAnsi="Verdana"/>
                <w:bCs/>
                <w:sz w:val="24"/>
              </w:rPr>
              <w:t>The lack of access to the southbound MI from the A14 at Junction 19 and the dangerous and constricted M6/M1/A14 junction generally encourages the use of the village as a ‘rat run’ for vehicles of all types and destinations.</w:t>
            </w:r>
          </w:p>
          <w:p w:rsidR="001E1279" w:rsidRPr="00F302E1" w:rsidRDefault="001E1279" w:rsidP="00193DEB">
            <w:pPr>
              <w:rPr>
                <w:b/>
              </w:rPr>
            </w:pPr>
          </w:p>
        </w:tc>
      </w:tr>
      <w:tr w:rsidR="001E1279" w:rsidRPr="00F302E1" w:rsidTr="00193DEB">
        <w:trPr>
          <w:gridAfter w:val="1"/>
          <w:wAfter w:w="3437" w:type="dxa"/>
        </w:trPr>
        <w:tc>
          <w:tcPr>
            <w:tcW w:w="11268" w:type="dxa"/>
            <w:gridSpan w:val="2"/>
            <w:shd w:val="pct20" w:color="000000" w:fill="FFFFFF"/>
          </w:tcPr>
          <w:p w:rsidR="001E1279" w:rsidRPr="00F302E1" w:rsidRDefault="001E1279" w:rsidP="00193DEB">
            <w:pPr>
              <w:rPr>
                <w:b/>
                <w:bCs/>
              </w:rPr>
            </w:pPr>
            <w:r w:rsidRPr="00F302E1">
              <w:rPr>
                <w:b/>
                <w:bCs/>
              </w:rPr>
              <w:t>ATRI 7</w:t>
            </w:r>
          </w:p>
        </w:tc>
      </w:tr>
      <w:tr w:rsidR="001E1279" w:rsidRPr="00F302E1" w:rsidTr="00193DEB">
        <w:trPr>
          <w:gridAfter w:val="1"/>
          <w:wAfter w:w="3437" w:type="dxa"/>
        </w:trPr>
        <w:tc>
          <w:tcPr>
            <w:tcW w:w="11268" w:type="dxa"/>
            <w:gridSpan w:val="2"/>
            <w:shd w:val="pct5" w:color="000000" w:fill="FFFFFF"/>
          </w:tcPr>
          <w:p w:rsidR="001E1279" w:rsidRPr="00F302E1" w:rsidRDefault="001E1279" w:rsidP="00193DEB">
            <w:pPr>
              <w:pStyle w:val="ListParagraph"/>
              <w:spacing w:before="240" w:line="276" w:lineRule="auto"/>
              <w:ind w:left="0"/>
              <w:jc w:val="left"/>
              <w:rPr>
                <w:rFonts w:ascii="Verdana" w:hAnsi="Verdana"/>
                <w:b/>
                <w:sz w:val="24"/>
              </w:rPr>
            </w:pPr>
            <w:r w:rsidRPr="00F302E1">
              <w:rPr>
                <w:rFonts w:ascii="Verdana" w:hAnsi="Verdana"/>
                <w:b/>
                <w:sz w:val="24"/>
              </w:rPr>
              <w:t>Parking</w:t>
            </w:r>
          </w:p>
          <w:p w:rsidR="001E1279" w:rsidRPr="00F302E1" w:rsidRDefault="001E1279" w:rsidP="00193DEB">
            <w:pPr>
              <w:rPr>
                <w:b/>
              </w:rPr>
            </w:pPr>
            <w:r>
              <w:t>T</w:t>
            </w:r>
            <w:r w:rsidRPr="00A94D6D">
              <w:t>here is insufficient off-street parking in the village</w:t>
            </w:r>
          </w:p>
        </w:tc>
      </w:tr>
    </w:tbl>
    <w:p w:rsidR="00BD5356" w:rsidRDefault="00BD5356" w:rsidP="00BD5356">
      <w:pPr>
        <w:ind w:right="826"/>
      </w:pPr>
    </w:p>
    <w:tbl>
      <w:tblPr>
        <w:tblW w:w="14705" w:type="dxa"/>
        <w:tblBorders>
          <w:insideH w:val="single" w:sz="18" w:space="0" w:color="FFFFFF"/>
          <w:insideV w:val="single" w:sz="18" w:space="0" w:color="FFFFFF"/>
        </w:tblBorders>
        <w:tblLook w:val="01E0" w:firstRow="1" w:lastRow="1" w:firstColumn="1" w:lastColumn="1" w:noHBand="0" w:noVBand="0"/>
      </w:tblPr>
      <w:tblGrid>
        <w:gridCol w:w="14705"/>
      </w:tblGrid>
      <w:tr w:rsidR="001E1279" w:rsidRPr="001E1279" w:rsidTr="00193DEB">
        <w:tc>
          <w:tcPr>
            <w:tcW w:w="11268" w:type="dxa"/>
            <w:shd w:val="pct20" w:color="000000" w:fill="FFFFFF"/>
          </w:tcPr>
          <w:p w:rsidR="001E1279" w:rsidRPr="001E1279" w:rsidRDefault="001E1279" w:rsidP="001E1279">
            <w:pPr>
              <w:rPr>
                <w:b/>
                <w:bCs/>
              </w:rPr>
            </w:pPr>
            <w:r w:rsidRPr="001E1279">
              <w:rPr>
                <w:b/>
                <w:bCs/>
              </w:rPr>
              <w:t>ATRI 8</w:t>
            </w:r>
          </w:p>
        </w:tc>
      </w:tr>
      <w:tr w:rsidR="001E1279" w:rsidRPr="001E1279" w:rsidTr="00193DEB">
        <w:tc>
          <w:tcPr>
            <w:tcW w:w="11268" w:type="dxa"/>
            <w:shd w:val="pct5" w:color="000000" w:fill="FFFFFF"/>
          </w:tcPr>
          <w:p w:rsidR="001E1279" w:rsidRPr="001E1279" w:rsidRDefault="001E1279" w:rsidP="001E1279">
            <w:pPr>
              <w:spacing w:before="240" w:after="120" w:line="276" w:lineRule="auto"/>
              <w:rPr>
                <w:b/>
                <w:lang w:eastAsia="en-US"/>
              </w:rPr>
            </w:pPr>
            <w:smartTag w:uri="urn:schemas-microsoft-com:office:smarttags" w:element="Street">
              <w:smartTag w:uri="urn:schemas-microsoft-com:office:smarttags" w:element="address">
                <w:r w:rsidRPr="001E1279">
                  <w:rPr>
                    <w:b/>
                    <w:lang w:eastAsia="en-US"/>
                  </w:rPr>
                  <w:t>Naseby Road</w:t>
                </w:r>
              </w:smartTag>
            </w:smartTag>
            <w:r w:rsidRPr="001E1279">
              <w:rPr>
                <w:b/>
                <w:lang w:eastAsia="en-US"/>
              </w:rPr>
              <w:t xml:space="preserve"> Junction with A5199</w:t>
            </w:r>
          </w:p>
          <w:p w:rsidR="001E1279" w:rsidRPr="001E1279" w:rsidRDefault="001E1279" w:rsidP="001E1279">
            <w:pPr>
              <w:spacing w:before="240" w:after="120" w:line="276" w:lineRule="auto"/>
              <w:ind w:right="4850"/>
              <w:rPr>
                <w:b/>
                <w:lang w:eastAsia="en-US"/>
              </w:rPr>
            </w:pPr>
            <w:r w:rsidRPr="001E1279">
              <w:rPr>
                <w:lang w:eastAsia="en-US"/>
              </w:rPr>
              <w:t xml:space="preserve">Vehicle speed and the restricted view caused by the road dip along the A5199 makes the </w:t>
            </w:r>
            <w:smartTag w:uri="urn:schemas-microsoft-com:office:smarttags" w:element="Street">
              <w:smartTag w:uri="urn:schemas-microsoft-com:office:smarttags" w:element="address">
                <w:r w:rsidRPr="001E1279">
                  <w:rPr>
                    <w:lang w:eastAsia="en-US"/>
                  </w:rPr>
                  <w:t>Naseby Road</w:t>
                </w:r>
              </w:smartTag>
            </w:smartTag>
            <w:r w:rsidRPr="001E1279">
              <w:rPr>
                <w:lang w:eastAsia="en-US"/>
              </w:rPr>
              <w:t xml:space="preserve"> junction dangerous for cars leaving the village.</w:t>
            </w:r>
          </w:p>
          <w:p w:rsidR="001E1279" w:rsidRPr="001E1279" w:rsidRDefault="001E1279" w:rsidP="001E1279">
            <w:pPr>
              <w:rPr>
                <w:b/>
              </w:rPr>
            </w:pPr>
          </w:p>
        </w:tc>
      </w:tr>
    </w:tbl>
    <w:p w:rsidR="001E1279" w:rsidRDefault="001E1279" w:rsidP="00BD5356">
      <w:pPr>
        <w:ind w:right="826"/>
      </w:pPr>
    </w:p>
    <w:tbl>
      <w:tblPr>
        <w:tblW w:w="14705" w:type="dxa"/>
        <w:tblBorders>
          <w:insideH w:val="single" w:sz="18" w:space="0" w:color="FFFFFF"/>
          <w:insideV w:val="single" w:sz="18" w:space="0" w:color="FFFFFF"/>
        </w:tblBorders>
        <w:tblLook w:val="01E0" w:firstRow="1" w:lastRow="1" w:firstColumn="1" w:lastColumn="1" w:noHBand="0" w:noVBand="0"/>
      </w:tblPr>
      <w:tblGrid>
        <w:gridCol w:w="11268"/>
        <w:gridCol w:w="3437"/>
      </w:tblGrid>
      <w:tr w:rsidR="001E1279" w:rsidRPr="00F302E1" w:rsidTr="00193DEB">
        <w:tc>
          <w:tcPr>
            <w:tcW w:w="11268" w:type="dxa"/>
            <w:shd w:val="pct20" w:color="000000" w:fill="FFFFFF"/>
          </w:tcPr>
          <w:p w:rsidR="001E1279" w:rsidRPr="00F302E1" w:rsidRDefault="001E1279" w:rsidP="00193DEB">
            <w:pPr>
              <w:rPr>
                <w:b/>
                <w:bCs/>
              </w:rPr>
            </w:pPr>
            <w:r w:rsidRPr="00F302E1">
              <w:rPr>
                <w:b/>
                <w:bCs/>
              </w:rPr>
              <w:t xml:space="preserve">ATRI 9 </w:t>
            </w:r>
            <w:r w:rsidRPr="00F302E1">
              <w:rPr>
                <w:b/>
                <w:bCs/>
                <w:highlight w:val="yellow"/>
              </w:rPr>
              <w:t>(Current Top priority)</w:t>
            </w:r>
          </w:p>
        </w:tc>
        <w:tc>
          <w:tcPr>
            <w:tcW w:w="3437" w:type="dxa"/>
            <w:shd w:val="pct20" w:color="000000" w:fill="FFFFFF"/>
          </w:tcPr>
          <w:p w:rsidR="001E1279" w:rsidRPr="00F302E1" w:rsidRDefault="001E1279" w:rsidP="00193DEB">
            <w:pPr>
              <w:rPr>
                <w:b/>
                <w:bCs/>
              </w:rPr>
            </w:pPr>
            <w:r w:rsidRPr="00F302E1">
              <w:rPr>
                <w:b/>
                <w:bCs/>
              </w:rPr>
              <w:t xml:space="preserve">Date Added/Amended </w:t>
            </w:r>
          </w:p>
        </w:tc>
      </w:tr>
      <w:tr w:rsidR="001E1279" w:rsidRPr="00F302E1" w:rsidTr="00193DEB">
        <w:tc>
          <w:tcPr>
            <w:tcW w:w="11268" w:type="dxa"/>
            <w:shd w:val="pct5" w:color="000000" w:fill="FFFFFF"/>
          </w:tcPr>
          <w:p w:rsidR="001E1279" w:rsidRPr="00A94D6D" w:rsidRDefault="001E1279" w:rsidP="001E1279">
            <w:pPr>
              <w:ind w:right="1554"/>
            </w:pPr>
            <w:r w:rsidRPr="00F302E1">
              <w:rPr>
                <w:szCs w:val="28"/>
              </w:rPr>
              <w:t xml:space="preserve">The speed of traffic along the </w:t>
            </w:r>
            <w:smartTag w:uri="urn:schemas-microsoft-com:office:smarttags" w:element="Street">
              <w:smartTag w:uri="urn:schemas-microsoft-com:office:smarttags" w:element="address">
                <w:r w:rsidRPr="00F302E1">
                  <w:rPr>
                    <w:szCs w:val="28"/>
                  </w:rPr>
                  <w:t>Stanford Rd</w:t>
                </w:r>
              </w:smartTag>
            </w:smartTag>
            <w:r w:rsidRPr="00F302E1">
              <w:rPr>
                <w:szCs w:val="28"/>
              </w:rPr>
              <w:t xml:space="preserve"> at the entrance to the park has reached unacceptable levels. In particular the danger posed to young people using the pedestrian access is a primary concern and action needs to be </w:t>
            </w:r>
            <w:r w:rsidRPr="00F302E1">
              <w:rPr>
                <w:szCs w:val="28"/>
              </w:rPr>
              <w:lastRenderedPageBreak/>
              <w:t>taken to find a suitable long term solution to reduce speed of traffic overall</w:t>
            </w:r>
          </w:p>
        </w:tc>
        <w:tc>
          <w:tcPr>
            <w:tcW w:w="3437" w:type="dxa"/>
            <w:shd w:val="pct5" w:color="000000" w:fill="FFFFFF"/>
          </w:tcPr>
          <w:p w:rsidR="001E1279" w:rsidRPr="00F302E1" w:rsidRDefault="001E1279" w:rsidP="00193DEB">
            <w:pPr>
              <w:rPr>
                <w:b/>
              </w:rPr>
            </w:pPr>
            <w:r w:rsidRPr="00F302E1">
              <w:rPr>
                <w:b/>
              </w:rPr>
              <w:lastRenderedPageBreak/>
              <w:t xml:space="preserve">CATWP August 13 </w:t>
            </w:r>
          </w:p>
        </w:tc>
      </w:tr>
      <w:tr w:rsidR="001E1279" w:rsidRPr="00F302E1" w:rsidTr="00193DEB">
        <w:tc>
          <w:tcPr>
            <w:tcW w:w="11268" w:type="dxa"/>
            <w:shd w:val="pct20" w:color="000000" w:fill="FFFFFF"/>
          </w:tcPr>
          <w:p w:rsidR="001E1279" w:rsidRPr="00F302E1" w:rsidRDefault="001E1279" w:rsidP="00193DEB">
            <w:pPr>
              <w:rPr>
                <w:b/>
              </w:rPr>
            </w:pPr>
            <w:r w:rsidRPr="00F302E1">
              <w:rPr>
                <w:b/>
              </w:rPr>
              <w:lastRenderedPageBreak/>
              <w:t>PS/FS/AS</w:t>
            </w:r>
          </w:p>
        </w:tc>
        <w:tc>
          <w:tcPr>
            <w:tcW w:w="3437" w:type="dxa"/>
            <w:shd w:val="pct20" w:color="000000" w:fill="FFFFFF"/>
          </w:tcPr>
          <w:p w:rsidR="001E1279" w:rsidRPr="00F302E1" w:rsidRDefault="001E1279" w:rsidP="00193DEB">
            <w:pPr>
              <w:rPr>
                <w:b/>
              </w:rPr>
            </w:pPr>
            <w:r w:rsidRPr="00F302E1">
              <w:rPr>
                <w:b/>
              </w:rPr>
              <w:t>Date Added/by Whom</w:t>
            </w:r>
          </w:p>
        </w:tc>
      </w:tr>
      <w:tr w:rsidR="001E1279" w:rsidRPr="00F302E1" w:rsidTr="00193DEB">
        <w:tc>
          <w:tcPr>
            <w:tcW w:w="11268" w:type="dxa"/>
            <w:shd w:val="pct5" w:color="000000" w:fill="FFFFFF"/>
          </w:tcPr>
          <w:p w:rsidR="001E1279" w:rsidRPr="00F302E1" w:rsidRDefault="001E1279" w:rsidP="001E1279">
            <w:pPr>
              <w:numPr>
                <w:ilvl w:val="0"/>
                <w:numId w:val="1"/>
              </w:numPr>
              <w:rPr>
                <w:b/>
              </w:rPr>
            </w:pPr>
            <w:r>
              <w:t xml:space="preserve">Possible solutions to be investigated once the ATRI is approved and adopted </w:t>
            </w:r>
          </w:p>
          <w:p w:rsidR="001E1279" w:rsidRPr="00F302E1" w:rsidRDefault="001E1279" w:rsidP="001E1279">
            <w:pPr>
              <w:numPr>
                <w:ilvl w:val="0"/>
                <w:numId w:val="1"/>
              </w:numPr>
              <w:ind w:right="1413"/>
              <w:rPr>
                <w:b/>
              </w:rPr>
            </w:pPr>
            <w:r w:rsidRPr="00F302E1">
              <w:rPr>
                <w:b/>
              </w:rPr>
              <w:t xml:space="preserve">PS </w:t>
            </w:r>
            <w:r>
              <w:t>consider a broad selection of traffic calming measures and ask for the opinions of the local authorities about what would be the most appropriate and realistically possible traffic calming solutions in this area. For consideration: -</w:t>
            </w:r>
          </w:p>
          <w:p w:rsidR="001E1279" w:rsidRPr="00F302E1" w:rsidRDefault="001E1279" w:rsidP="001E1279">
            <w:pPr>
              <w:numPr>
                <w:ilvl w:val="1"/>
                <w:numId w:val="1"/>
              </w:numPr>
              <w:rPr>
                <w:b/>
              </w:rPr>
            </w:pPr>
            <w:r w:rsidRPr="00F302E1">
              <w:rPr>
                <w:b/>
              </w:rPr>
              <w:t>Physical traffic calming</w:t>
            </w:r>
          </w:p>
          <w:p w:rsidR="001E1279" w:rsidRPr="00F302E1" w:rsidRDefault="001E1279" w:rsidP="001E1279">
            <w:pPr>
              <w:numPr>
                <w:ilvl w:val="1"/>
                <w:numId w:val="1"/>
              </w:numPr>
              <w:rPr>
                <w:b/>
              </w:rPr>
            </w:pPr>
            <w:r w:rsidRPr="00F302E1">
              <w:rPr>
                <w:b/>
              </w:rPr>
              <w:t xml:space="preserve">Improved signage </w:t>
            </w:r>
          </w:p>
          <w:p w:rsidR="001E1279" w:rsidRPr="00F302E1" w:rsidRDefault="001E1279" w:rsidP="001E1279">
            <w:pPr>
              <w:numPr>
                <w:ilvl w:val="1"/>
                <w:numId w:val="1"/>
              </w:numPr>
              <w:rPr>
                <w:b/>
              </w:rPr>
            </w:pPr>
            <w:r w:rsidRPr="00F302E1">
              <w:rPr>
                <w:b/>
              </w:rPr>
              <w:t xml:space="preserve">Fixed VAS </w:t>
            </w:r>
          </w:p>
          <w:p w:rsidR="001E1279" w:rsidRPr="00F302E1" w:rsidRDefault="001E1279" w:rsidP="001E1279">
            <w:pPr>
              <w:numPr>
                <w:ilvl w:val="1"/>
                <w:numId w:val="1"/>
              </w:numPr>
              <w:rPr>
                <w:b/>
              </w:rPr>
            </w:pPr>
            <w:r w:rsidRPr="00F302E1">
              <w:rPr>
                <w:b/>
              </w:rPr>
              <w:t>Reduced (20mph) speed limit</w:t>
            </w:r>
          </w:p>
        </w:tc>
        <w:tc>
          <w:tcPr>
            <w:tcW w:w="3437" w:type="dxa"/>
            <w:shd w:val="pct5" w:color="000000" w:fill="FFFFFF"/>
          </w:tcPr>
          <w:p w:rsidR="001E1279" w:rsidRPr="00F302E1" w:rsidRDefault="001E1279" w:rsidP="00193DEB">
            <w:pPr>
              <w:rPr>
                <w:b/>
              </w:rPr>
            </w:pPr>
            <w:r w:rsidRPr="00F302E1">
              <w:rPr>
                <w:b/>
              </w:rPr>
              <w:t xml:space="preserve">CATWP August 13 </w:t>
            </w:r>
          </w:p>
        </w:tc>
      </w:tr>
      <w:tr w:rsidR="001E1279" w:rsidRPr="00F302E1" w:rsidTr="00193DEB">
        <w:tc>
          <w:tcPr>
            <w:tcW w:w="11268" w:type="dxa"/>
            <w:shd w:val="pct20" w:color="000000" w:fill="FFFFFF"/>
          </w:tcPr>
          <w:p w:rsidR="001E1279" w:rsidRPr="00F302E1" w:rsidRDefault="001E1279" w:rsidP="00193DEB">
            <w:pPr>
              <w:rPr>
                <w:b/>
              </w:rPr>
            </w:pPr>
            <w:r w:rsidRPr="00F302E1">
              <w:rPr>
                <w:b/>
              </w:rPr>
              <w:t xml:space="preserve">Update </w:t>
            </w:r>
          </w:p>
        </w:tc>
        <w:tc>
          <w:tcPr>
            <w:tcW w:w="3437" w:type="dxa"/>
            <w:shd w:val="pct20" w:color="000000" w:fill="FFFFFF"/>
          </w:tcPr>
          <w:p w:rsidR="001E1279" w:rsidRPr="00F302E1" w:rsidRDefault="001E1279" w:rsidP="00193DEB">
            <w:pPr>
              <w:rPr>
                <w:b/>
              </w:rPr>
            </w:pPr>
            <w:r w:rsidRPr="00F302E1">
              <w:rPr>
                <w:b/>
              </w:rPr>
              <w:t xml:space="preserve">Date </w:t>
            </w:r>
          </w:p>
        </w:tc>
      </w:tr>
      <w:tr w:rsidR="001E1279" w:rsidRPr="00F302E1" w:rsidTr="00193DEB">
        <w:tc>
          <w:tcPr>
            <w:tcW w:w="11268" w:type="dxa"/>
            <w:shd w:val="pct5" w:color="000000" w:fill="FFFFFF"/>
          </w:tcPr>
          <w:p w:rsidR="001E1279" w:rsidRPr="00422E31" w:rsidRDefault="001E1279" w:rsidP="001E1279">
            <w:pPr>
              <w:numPr>
                <w:ilvl w:val="0"/>
                <w:numId w:val="3"/>
              </w:numPr>
            </w:pPr>
            <w:r w:rsidRPr="00422E31">
              <w:t xml:space="preserve">ATRI adopted at the August 2013 PC meeting </w:t>
            </w:r>
          </w:p>
        </w:tc>
        <w:tc>
          <w:tcPr>
            <w:tcW w:w="3437" w:type="dxa"/>
            <w:shd w:val="pct5" w:color="000000" w:fill="FFFFFF"/>
          </w:tcPr>
          <w:p w:rsidR="001E1279" w:rsidRPr="00F302E1" w:rsidRDefault="001E1279" w:rsidP="00193DEB">
            <w:pPr>
              <w:rPr>
                <w:b/>
              </w:rPr>
            </w:pPr>
            <w:r w:rsidRPr="00F302E1">
              <w:rPr>
                <w:b/>
              </w:rPr>
              <w:t xml:space="preserve">CATWP August 2013 </w:t>
            </w:r>
          </w:p>
        </w:tc>
      </w:tr>
      <w:tr w:rsidR="001E1279" w:rsidRPr="00F302E1" w:rsidTr="00193DEB">
        <w:tc>
          <w:tcPr>
            <w:tcW w:w="11268" w:type="dxa"/>
            <w:shd w:val="pct20" w:color="000000" w:fill="FFFFFF"/>
          </w:tcPr>
          <w:p w:rsidR="001E1279" w:rsidRPr="00F302E1" w:rsidRDefault="001E1279" w:rsidP="00193DEB">
            <w:pPr>
              <w:rPr>
                <w:b/>
              </w:rPr>
            </w:pPr>
            <w:r w:rsidRPr="00F302E1">
              <w:rPr>
                <w:b/>
              </w:rPr>
              <w:t>Next Steps</w:t>
            </w:r>
          </w:p>
        </w:tc>
        <w:tc>
          <w:tcPr>
            <w:tcW w:w="3437" w:type="dxa"/>
            <w:shd w:val="pct20" w:color="000000" w:fill="FFFFFF"/>
          </w:tcPr>
          <w:p w:rsidR="001E1279" w:rsidRPr="00F302E1" w:rsidRDefault="001E1279" w:rsidP="00193DEB">
            <w:pPr>
              <w:rPr>
                <w:b/>
              </w:rPr>
            </w:pPr>
            <w:r w:rsidRPr="00F302E1">
              <w:rPr>
                <w:b/>
              </w:rPr>
              <w:t>When</w:t>
            </w:r>
          </w:p>
        </w:tc>
      </w:tr>
      <w:tr w:rsidR="001E1279" w:rsidRPr="00F302E1" w:rsidTr="00193DEB">
        <w:tc>
          <w:tcPr>
            <w:tcW w:w="11268" w:type="dxa"/>
            <w:shd w:val="pct5" w:color="000000" w:fill="FFFFFF"/>
          </w:tcPr>
          <w:p w:rsidR="001E1279" w:rsidRPr="00F302E1" w:rsidRDefault="001E1279" w:rsidP="001E1279">
            <w:pPr>
              <w:numPr>
                <w:ilvl w:val="0"/>
                <w:numId w:val="2"/>
              </w:numPr>
              <w:rPr>
                <w:b/>
              </w:rPr>
            </w:pPr>
            <w:r>
              <w:t xml:space="preserve">ATRI to be debated at the August PC meeting </w:t>
            </w:r>
          </w:p>
          <w:p w:rsidR="001E1279" w:rsidRPr="00F302E1" w:rsidRDefault="001E1279" w:rsidP="001E1279">
            <w:pPr>
              <w:numPr>
                <w:ilvl w:val="0"/>
                <w:numId w:val="2"/>
              </w:numPr>
              <w:ind w:right="1413"/>
              <w:rPr>
                <w:b/>
              </w:rPr>
            </w:pPr>
            <w:r>
              <w:t xml:space="preserve">Write to NCC to highlight this area of concern and ask for their opinion on the traffic calming measures noted above. Ask whether they could visit site to review the area and come up with additional traffic calming measures that might be possible </w:t>
            </w:r>
          </w:p>
        </w:tc>
        <w:tc>
          <w:tcPr>
            <w:tcW w:w="3437" w:type="dxa"/>
            <w:shd w:val="pct5" w:color="000000" w:fill="FFFFFF"/>
          </w:tcPr>
          <w:p w:rsidR="001E1279" w:rsidRPr="00F302E1" w:rsidRDefault="001E1279" w:rsidP="00193DEB">
            <w:pPr>
              <w:rPr>
                <w:b/>
              </w:rPr>
            </w:pPr>
            <w:r w:rsidRPr="00F302E1">
              <w:rPr>
                <w:b/>
              </w:rPr>
              <w:t xml:space="preserve">PC meeting August 13 </w:t>
            </w:r>
          </w:p>
          <w:p w:rsidR="001E1279" w:rsidRPr="00F302E1" w:rsidRDefault="001E1279" w:rsidP="00193DEB">
            <w:pPr>
              <w:rPr>
                <w:b/>
              </w:rPr>
            </w:pPr>
            <w:r w:rsidRPr="00F302E1">
              <w:rPr>
                <w:b/>
              </w:rPr>
              <w:t xml:space="preserve">CATWP August 13 </w:t>
            </w:r>
          </w:p>
        </w:tc>
      </w:tr>
    </w:tbl>
    <w:p w:rsidR="001E1279" w:rsidRPr="00A94D6D" w:rsidRDefault="001E1279" w:rsidP="001E1279"/>
    <w:p w:rsidR="001E1279" w:rsidRPr="00A94D6D" w:rsidRDefault="001E1279" w:rsidP="001E1279"/>
    <w:p w:rsidR="001E1279" w:rsidRPr="00A94D6D" w:rsidRDefault="001E1279" w:rsidP="001E1279"/>
    <w:p w:rsidR="001E1279" w:rsidRPr="00A94D6D" w:rsidRDefault="00A96359" w:rsidP="001E1279">
      <w:r>
        <w:t xml:space="preserve">Please note that this </w:t>
      </w:r>
      <w:proofErr w:type="spellStart"/>
      <w:r>
        <w:t>versin</w:t>
      </w:r>
      <w:proofErr w:type="spellEnd"/>
      <w:r>
        <w:t xml:space="preserve"> of the programme shows only the current priority in full. There is a similar level of detail for each ATRI but the Cold Ashby traffic working party does not currently have the resources to pursue each in detail. ATRI 9 </w:t>
      </w:r>
      <w:r w:rsidR="00B86BFB">
        <w:t xml:space="preserve">is the subject of discussions between CAPC and Northampton County Council. </w:t>
      </w:r>
      <w:bookmarkStart w:id="0" w:name="_GoBack"/>
      <w:bookmarkEnd w:id="0"/>
    </w:p>
    <w:p w:rsidR="001E1279" w:rsidRDefault="001E1279" w:rsidP="00BD5356">
      <w:pPr>
        <w:ind w:right="826"/>
      </w:pPr>
    </w:p>
    <w:sectPr w:rsidR="001E1279" w:rsidSect="00BD5356">
      <w:pgSz w:w="11906" w:h="16838"/>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60EB2"/>
    <w:multiLevelType w:val="hybridMultilevel"/>
    <w:tmpl w:val="06CC3B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3212C10"/>
    <w:multiLevelType w:val="hybridMultilevel"/>
    <w:tmpl w:val="33F6EB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5C8E78C4"/>
    <w:multiLevelType w:val="hybridMultilevel"/>
    <w:tmpl w:val="D7940B4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8C0"/>
    <w:rsid w:val="001358C0"/>
    <w:rsid w:val="001E1279"/>
    <w:rsid w:val="002C45C6"/>
    <w:rsid w:val="00A96359"/>
    <w:rsid w:val="00B86BFB"/>
    <w:rsid w:val="00BD5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8C0"/>
    <w:pPr>
      <w:spacing w:after="0" w:line="240" w:lineRule="auto"/>
    </w:pPr>
    <w:rPr>
      <w:rFonts w:ascii="Verdana" w:eastAsia="Times New Roman" w:hAnsi="Verdan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D5356"/>
    <w:pPr>
      <w:spacing w:before="60" w:after="120"/>
      <w:ind w:left="720"/>
      <w:jc w:val="both"/>
    </w:pPr>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8C0"/>
    <w:pPr>
      <w:spacing w:after="0" w:line="240" w:lineRule="auto"/>
    </w:pPr>
    <w:rPr>
      <w:rFonts w:ascii="Verdana" w:eastAsia="Times New Roman" w:hAnsi="Verdan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D5356"/>
    <w:pPr>
      <w:spacing w:before="60" w:after="120"/>
      <w:ind w:left="720"/>
      <w:jc w:val="both"/>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dcterms:created xsi:type="dcterms:W3CDTF">2013-10-25T09:10:00Z</dcterms:created>
  <dcterms:modified xsi:type="dcterms:W3CDTF">2013-10-25T09:41:00Z</dcterms:modified>
</cp:coreProperties>
</file>